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Pr="00AB144B" w:rsidRDefault="00A84379">
            <w:pPr>
              <w:pStyle w:val="Normalintable"/>
              <w:rPr>
                <w:b/>
                <w:bCs/>
                <w:color w:val="000000" w:themeColor="text1"/>
              </w:rPr>
            </w:pPr>
            <w:r w:rsidRPr="00AB144B">
              <w:rPr>
                <w:b/>
                <w:bCs/>
                <w:color w:val="000000" w:themeColor="text1"/>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11859955" w:rsidR="00223B78" w:rsidRPr="00AB144B" w:rsidRDefault="00012152" w:rsidP="00012152">
            <w:pPr>
              <w:rPr>
                <w:color w:val="000000" w:themeColor="text1"/>
              </w:rPr>
            </w:pPr>
            <w:r>
              <w:rPr>
                <w:color w:val="000000" w:themeColor="text1"/>
                <w:sz w:val="22"/>
                <w:szCs w:val="22"/>
              </w:rPr>
              <w:t>19 Partridge Close</w:t>
            </w:r>
            <w:r>
              <w:rPr>
                <w:color w:val="000000" w:themeColor="text1"/>
                <w:sz w:val="22"/>
                <w:szCs w:val="22"/>
              </w:rPr>
              <w:t xml:space="preserve">, </w:t>
            </w:r>
            <w:r>
              <w:rPr>
                <w:color w:val="000000" w:themeColor="text1"/>
                <w:sz w:val="22"/>
                <w:szCs w:val="22"/>
              </w:rPr>
              <w:t>Dishforth</w:t>
            </w:r>
            <w:r>
              <w:rPr>
                <w:color w:val="000000" w:themeColor="text1"/>
                <w:sz w:val="22"/>
                <w:szCs w:val="22"/>
              </w:rPr>
              <w:t xml:space="preserve">, </w:t>
            </w:r>
            <w:r>
              <w:rPr>
                <w:color w:val="000000" w:themeColor="text1"/>
                <w:sz w:val="22"/>
                <w:szCs w:val="22"/>
              </w:rPr>
              <w:t>Thirsk</w:t>
            </w:r>
            <w:r>
              <w:rPr>
                <w:color w:val="000000" w:themeColor="text1"/>
                <w:sz w:val="22"/>
                <w:szCs w:val="22"/>
              </w:rPr>
              <w:t>,</w:t>
            </w:r>
            <w:r>
              <w:rPr>
                <w:color w:val="000000" w:themeColor="text1"/>
                <w:sz w:val="22"/>
                <w:szCs w:val="22"/>
              </w:rPr>
              <w:t xml:space="preserve"> North Yorkshire</w:t>
            </w:r>
            <w:r>
              <w:rPr>
                <w:color w:val="000000" w:themeColor="text1"/>
                <w:sz w:val="22"/>
                <w:szCs w:val="22"/>
              </w:rPr>
              <w:t>,</w:t>
            </w:r>
            <w:r>
              <w:rPr>
                <w:color w:val="000000" w:themeColor="text1"/>
                <w:sz w:val="22"/>
                <w:szCs w:val="22"/>
              </w:rPr>
              <w:br/>
              <w:t>YO7 3GF</w:t>
            </w:r>
            <w:r w:rsidRPr="00AB144B">
              <w:rPr>
                <w:color w:val="000000" w:themeColor="text1"/>
              </w:rPr>
              <w:t xml:space="preserve"> </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6B66B0E5" w:rsidR="00223B78" w:rsidRDefault="00AB144B">
            <w:pPr>
              <w:pStyle w:val="Normalintable"/>
            </w:pPr>
            <w:r>
              <w:t xml:space="preserve"> 2 bed </w:t>
            </w:r>
            <w:r w:rsidR="00012152">
              <w:t xml:space="preserve">semi detached </w:t>
            </w:r>
            <w:r>
              <w:t>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046E801" w:rsidR="00223B78" w:rsidRDefault="0028789E">
            <w:pPr>
              <w:pStyle w:val="Normalintable"/>
            </w:pPr>
            <w:r>
              <w:t xml:space="preserve"> £</w:t>
            </w:r>
            <w:r w:rsidR="00012152">
              <w:t>250</w:t>
            </w:r>
            <w:r>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0435EA1E" w:rsidR="00223B78" w:rsidRDefault="00A84379">
            <w:pPr>
              <w:pStyle w:val="Normalintable"/>
            </w:pPr>
            <w:r>
              <w:t xml:space="preserve">If you buy a </w:t>
            </w:r>
            <w:r w:rsidR="0028789E">
              <w:t>40</w:t>
            </w:r>
            <w:r>
              <w:t xml:space="preserve">% share, the share purchase price will be </w:t>
            </w:r>
            <w:r w:rsidR="0028789E">
              <w:t xml:space="preserve"> £</w:t>
            </w:r>
            <w:r w:rsidR="00012152">
              <w:t>100</w:t>
            </w:r>
            <w:r w:rsidR="0028789E">
              <w:t xml:space="preserve">,000 </w:t>
            </w:r>
            <w:r>
              <w:t xml:space="preserve">and the rent will be </w:t>
            </w:r>
            <w:r w:rsidR="0028789E">
              <w:t>£</w:t>
            </w:r>
            <w:r w:rsidR="00012152">
              <w:t>348.82</w:t>
            </w:r>
            <w:r w:rsidR="0028789E">
              <w:t xml:space="preserve">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012152"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77777777" w:rsidR="00012152" w:rsidRDefault="00012152" w:rsidP="00012152">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1A7EFC0F" w:rsidR="00012152" w:rsidRDefault="00012152" w:rsidP="00012152">
                  <w:pPr>
                    <w:pStyle w:val="Normalintable"/>
                  </w:pPr>
                  <w:r>
                    <w:t>£</w:t>
                  </w:r>
                  <w:r w:rsidRPr="00961296">
                    <w:t>62,500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2FBA0AF2" w:rsidR="00012152" w:rsidRDefault="00012152" w:rsidP="00012152">
                  <w:pPr>
                    <w:pStyle w:val="Normalintable"/>
                  </w:pPr>
                  <w:r>
                    <w:t>£436.03</w:t>
                  </w:r>
                </w:p>
              </w:tc>
            </w:tr>
            <w:tr w:rsidR="00012152"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77777777" w:rsidR="00012152" w:rsidRDefault="00012152" w:rsidP="0001215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14987FC1" w:rsidR="00012152" w:rsidRDefault="00012152" w:rsidP="00012152">
                  <w:pPr>
                    <w:pStyle w:val="Normalintable"/>
                  </w:pPr>
                  <w:r>
                    <w:t>£</w:t>
                  </w:r>
                  <w:r w:rsidRPr="00961296">
                    <w:t>75,000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6D2F54EC" w:rsidR="00012152" w:rsidRDefault="00012152" w:rsidP="00012152">
                  <w:pPr>
                    <w:pStyle w:val="Normalintable"/>
                  </w:pPr>
                  <w:r>
                    <w:t>£406.96</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20EE8A3F" w:rsidR="00223B78" w:rsidRDefault="0028789E">
                  <w:pPr>
                    <w:pStyle w:val="Normalintable"/>
                  </w:pPr>
                  <w:r>
                    <w:t>£1</w:t>
                  </w:r>
                  <w:r w:rsidR="00012152">
                    <w:t>00</w:t>
                  </w:r>
                  <w:r>
                    <w:t>,000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5E2DFC0B" w:rsidR="00223B78" w:rsidRDefault="0028789E">
                  <w:pPr>
                    <w:pStyle w:val="Normalintable"/>
                  </w:pPr>
                  <w:r>
                    <w:t>£</w:t>
                  </w:r>
                  <w:r w:rsidR="00012152">
                    <w:t>348.82</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2CDD3F17" w:rsidR="00223B78" w:rsidRDefault="00C7136E">
                  <w:pPr>
                    <w:pStyle w:val="Normalintable"/>
                  </w:pPr>
                  <w:r>
                    <w:t>£1</w:t>
                  </w:r>
                  <w:r w:rsidR="00012152">
                    <w:t>2</w:t>
                  </w:r>
                  <w:r>
                    <w:t>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2154243E" w:rsidR="00223B78" w:rsidRDefault="00C7136E">
                  <w:pPr>
                    <w:pStyle w:val="Normalintable"/>
                  </w:pPr>
                  <w:r>
                    <w:t>£</w:t>
                  </w:r>
                  <w:r w:rsidR="00012152">
                    <w:t>290.68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06972431" w:rsidR="00223B78" w:rsidRDefault="00C7136E">
                  <w:pPr>
                    <w:pStyle w:val="Normalintable"/>
                  </w:pPr>
                  <w:r>
                    <w:t>£1</w:t>
                  </w:r>
                  <w:r w:rsidR="00012152">
                    <w:t>50</w:t>
                  </w:r>
                  <w:r>
                    <w:t>,000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3138D384" w:rsidR="00223B78" w:rsidRDefault="00C7136E">
                  <w:pPr>
                    <w:pStyle w:val="Normalintable"/>
                  </w:pPr>
                  <w:r>
                    <w:t>£</w:t>
                  </w:r>
                  <w:r w:rsidR="00012152">
                    <w:t>232.48</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60D95921" w:rsidR="00223B78" w:rsidRDefault="00C7136E">
                  <w:pPr>
                    <w:pStyle w:val="Normalintable"/>
                  </w:pPr>
                  <w:r>
                    <w:t>£</w:t>
                  </w:r>
                  <w:r w:rsidR="00012152">
                    <w:t>175</w:t>
                  </w:r>
                  <w:r>
                    <w:t>,000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173580A1" w:rsidR="00223B78" w:rsidRDefault="00C7136E">
                  <w:pPr>
                    <w:pStyle w:val="Normalintable"/>
                  </w:pPr>
                  <w:r>
                    <w:t>£</w:t>
                  </w:r>
                  <w:r w:rsidR="00012152">
                    <w:t>174.41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D8C65DB" w:rsidR="00223B78" w:rsidRDefault="00C7136E">
                  <w:pPr>
                    <w:pStyle w:val="Normalintable"/>
                  </w:pPr>
                  <w:r>
                    <w:t>£</w:t>
                  </w:r>
                  <w:r w:rsidR="00012152">
                    <w:t>187,500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14B48737" w:rsidR="00223B78" w:rsidRDefault="00C7136E">
                  <w:pPr>
                    <w:pStyle w:val="Normalintable"/>
                  </w:pPr>
                  <w:r>
                    <w:t>£</w:t>
                  </w:r>
                  <w:r w:rsidR="00012152">
                    <w:t>145.34</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3441C3A8" w:rsidR="00223B78" w:rsidRDefault="00A84379">
            <w:pPr>
              <w:pStyle w:val="Normalintable"/>
            </w:pPr>
            <w:r>
              <w:t xml:space="preserve">Your annual rent is calculated as </w:t>
            </w:r>
            <w:r w:rsidR="00012152">
              <w:t>2.79</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13892CC" w:rsidR="00223B78" w:rsidRDefault="00A84379">
            <w:pPr>
              <w:pStyle w:val="Normalintable"/>
              <w:tabs>
                <w:tab w:val="left" w:pos="2732"/>
              </w:tabs>
            </w:pPr>
            <w:r>
              <w:t>Service charge</w:t>
            </w:r>
            <w:r>
              <w:tab/>
              <w:t>£</w:t>
            </w:r>
            <w:r w:rsidR="00012152">
              <w:t>5.09</w:t>
            </w:r>
          </w:p>
          <w:p w14:paraId="11561250" w14:textId="7A27AFE0" w:rsidR="00223B78" w:rsidRDefault="00A84379">
            <w:pPr>
              <w:pStyle w:val="Normalintable"/>
              <w:tabs>
                <w:tab w:val="left" w:pos="2732"/>
              </w:tabs>
            </w:pPr>
            <w:r>
              <w:t>Estate charge</w:t>
            </w:r>
            <w:r>
              <w:tab/>
              <w:t>£</w:t>
            </w:r>
            <w:r w:rsidR="00C7136E">
              <w:t>0</w:t>
            </w:r>
          </w:p>
          <w:p w14:paraId="2E094B40" w14:textId="3534F78B" w:rsidR="00223B78" w:rsidRDefault="00A84379">
            <w:pPr>
              <w:pStyle w:val="Normalintable"/>
              <w:tabs>
                <w:tab w:val="left" w:pos="2732"/>
              </w:tabs>
            </w:pPr>
            <w:r>
              <w:t>Buildings insurance</w:t>
            </w:r>
            <w:r>
              <w:tab/>
              <w:t>£</w:t>
            </w:r>
            <w:r w:rsidR="00012152">
              <w:t>9.71</w:t>
            </w:r>
          </w:p>
          <w:p w14:paraId="359894F7" w14:textId="4B82FF77" w:rsidR="00223B78" w:rsidRDefault="00A84379">
            <w:pPr>
              <w:pStyle w:val="Normalintable"/>
              <w:tabs>
                <w:tab w:val="left" w:pos="2732"/>
              </w:tabs>
            </w:pPr>
            <w:r>
              <w:t>Management fee</w:t>
            </w:r>
            <w:r>
              <w:tab/>
              <w:t>£</w:t>
            </w:r>
            <w:r w:rsidR="00C7136E">
              <w:t>3.</w:t>
            </w:r>
            <w:r w:rsidR="00012152">
              <w:t>21</w:t>
            </w:r>
          </w:p>
          <w:p w14:paraId="3997A2D8" w14:textId="48801385" w:rsidR="00223B78" w:rsidRDefault="00A84379">
            <w:pPr>
              <w:pStyle w:val="Normalintable"/>
              <w:tabs>
                <w:tab w:val="left" w:pos="2732"/>
              </w:tabs>
            </w:pPr>
            <w:r>
              <w:t>Reserve fund payment</w:t>
            </w:r>
            <w:r>
              <w:tab/>
              <w:t>£</w:t>
            </w:r>
            <w:r w:rsidR="00C7136E">
              <w:t>0</w:t>
            </w:r>
          </w:p>
          <w:p w14:paraId="094F0D84" w14:textId="77777777" w:rsidR="00223B78" w:rsidRDefault="00223B78">
            <w:pPr>
              <w:pStyle w:val="Normalintable"/>
              <w:tabs>
                <w:tab w:val="left" w:pos="2732"/>
              </w:tabs>
            </w:pPr>
          </w:p>
          <w:p w14:paraId="38C63AA6" w14:textId="06D2049F" w:rsidR="00223B78" w:rsidRDefault="00A84379">
            <w:pPr>
              <w:pStyle w:val="Normalintable"/>
              <w:tabs>
                <w:tab w:val="left" w:pos="2732"/>
              </w:tabs>
            </w:pPr>
            <w:r>
              <w:t xml:space="preserve">Total monthly payment </w:t>
            </w:r>
            <w:r>
              <w:rPr>
                <w:b/>
                <w:bCs/>
              </w:rPr>
              <w:t>excluding rent</w:t>
            </w:r>
            <w:r>
              <w:tab/>
              <w:t>£</w:t>
            </w:r>
            <w:r w:rsidR="00012152">
              <w:t>18.01</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0282905F"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3A079A04" w:rsidR="00223B78" w:rsidRDefault="00A84379" w:rsidP="009264AC">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50AC53AF" w:rsidR="00223B78" w:rsidRDefault="009264AC" w:rsidP="00B627A2">
            <w:pPr>
              <w:pStyle w:val="Normalintable"/>
            </w:pPr>
            <w:r>
              <w:t>Shared Ownership Flat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4D62C24" w:rsidR="00223B78" w:rsidRDefault="00F54D0C">
            <w:pPr>
              <w:pStyle w:val="Normalintable"/>
            </w:pPr>
            <w:r>
              <w:t>1</w:t>
            </w:r>
            <w:r w:rsidR="00012152">
              <w:t>20</w:t>
            </w:r>
            <w:r>
              <w:t xml:space="preserve">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CBC855" w14:textId="405A8FB7"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C7136E">
              <w:t>plus 0.5%</w:t>
            </w:r>
          </w:p>
          <w:p w14:paraId="07C30558" w14:textId="77777777" w:rsidR="00C7136E" w:rsidRDefault="00C7136E" w:rsidP="00DA404B">
            <w:pPr>
              <w:pStyle w:val="Normalintable"/>
            </w:pPr>
          </w:p>
          <w:p w14:paraId="3BD127A4" w14:textId="77777777"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B4935D" w14:textId="77777777" w:rsidR="009264AC" w:rsidRDefault="009264AC" w:rsidP="009264AC">
            <w:pPr>
              <w:pStyle w:val="Normalintable"/>
            </w:pPr>
            <w:r>
              <w:t>At 100% ownership, the leasehold title remains in your name but your shared ownership obligations fall away.</w:t>
            </w: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C53783A" w14:textId="77777777" w:rsidR="00C7136E" w:rsidRDefault="00C7136E" w:rsidP="00B627A2">
            <w:pPr>
              <w:spacing w:before="0" w:after="0"/>
              <w:ind w:left="-85"/>
              <w:jc w:val="both"/>
              <w:rPr>
                <w:color w:val="000000"/>
                <w:sz w:val="22"/>
                <w:szCs w:val="22"/>
              </w:rPr>
            </w:pPr>
            <w:r>
              <w:rPr>
                <w:color w:val="000000"/>
                <w:sz w:val="22"/>
                <w:szCs w:val="22"/>
              </w:rPr>
              <w:t>Stonewater Ltd</w:t>
            </w:r>
          </w:p>
          <w:p w14:paraId="085F02BF" w14:textId="77CF71F3"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lastRenderedPageBreak/>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F54D0C"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54D0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26564954">
    <w:abstractNumId w:val="5"/>
  </w:num>
  <w:num w:numId="2" w16cid:durableId="583302075">
    <w:abstractNumId w:val="4"/>
  </w:num>
  <w:num w:numId="3" w16cid:durableId="754400013">
    <w:abstractNumId w:val="0"/>
  </w:num>
  <w:num w:numId="4" w16cid:durableId="435836139">
    <w:abstractNumId w:val="1"/>
  </w:num>
  <w:num w:numId="5" w16cid:durableId="2068337079">
    <w:abstractNumId w:val="3"/>
  </w:num>
  <w:num w:numId="6" w16cid:durableId="2118059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12152"/>
    <w:rsid w:val="00052C1F"/>
    <w:rsid w:val="000A66E8"/>
    <w:rsid w:val="000C3422"/>
    <w:rsid w:val="00131967"/>
    <w:rsid w:val="00223B78"/>
    <w:rsid w:val="0028789E"/>
    <w:rsid w:val="003771AA"/>
    <w:rsid w:val="0041046F"/>
    <w:rsid w:val="007A63A0"/>
    <w:rsid w:val="00891552"/>
    <w:rsid w:val="009264AC"/>
    <w:rsid w:val="00A84379"/>
    <w:rsid w:val="00AB144B"/>
    <w:rsid w:val="00B15295"/>
    <w:rsid w:val="00B627A2"/>
    <w:rsid w:val="00BC4BD3"/>
    <w:rsid w:val="00C22FE3"/>
    <w:rsid w:val="00C7136E"/>
    <w:rsid w:val="00D06547"/>
    <w:rsid w:val="00DA404B"/>
    <w:rsid w:val="00E80EE8"/>
    <w:rsid w:val="00F54D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32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Robyn Gahan</cp:lastModifiedBy>
  <cp:revision>4</cp:revision>
  <cp:lastPrinted>2022-07-24T17:43:00Z</cp:lastPrinted>
  <dcterms:created xsi:type="dcterms:W3CDTF">2024-01-09T14:04:00Z</dcterms:created>
  <dcterms:modified xsi:type="dcterms:W3CDTF">2025-04-08T17:55:00Z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